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spacing w:before="240" w:after="0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 заявителей должна отсутствовать неисполненная обязанность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0" w:name="Par509"/>
      <w:bookmarkEnd w:id="0"/>
      <w:r>
        <w:rPr>
          <w:rFonts w:ascii="PT Astra Serif" w:hAnsi="PT Astra Serif"/>
          <w:sz w:val="28"/>
          <w:szCs w:val="28"/>
        </w:rPr>
        <w:t>2) у заявителей должна отсутствовать просроченная задолженность                       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заявители не должны находиться в процессе реорганизации, ликвидации, в отношении их не должны быть введены процедуры, применяемые в деле                       о банкротстве, деятельность заявителей не должна быть приостановлена                          в порядке, предусмотренном законодательством Российской Федерации;</w:t>
      </w:r>
    </w:p>
    <w:p>
      <w:pPr>
        <w:pStyle w:val="ConsPlusNormal"/>
        <w:bidi w:val="0"/>
        <w:spacing w:before="160" w:after="0"/>
        <w:ind w:left="0" w:right="0" w:firstLine="540"/>
        <w:jc w:val="both"/>
        <w:rPr/>
      </w:pPr>
      <w:bookmarkStart w:id="1" w:name="Par512"/>
      <w:bookmarkEnd w:id="1"/>
      <w:r>
        <w:rPr>
          <w:rFonts w:ascii="PT Astra Serif" w:hAnsi="PT Astra Serif"/>
          <w:sz w:val="28"/>
          <w:szCs w:val="28"/>
        </w:rPr>
        <w:t xml:space="preserve">4)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496">
        <w:r>
          <w:rPr>
            <w:rStyle w:val="ListLabel4"/>
            <w:rFonts w:ascii="PT Astra Serif" w:hAnsi="PT Astra Serif"/>
            <w:color w:val="0000FF"/>
            <w:sz w:val="28"/>
            <w:szCs w:val="28"/>
          </w:rPr>
          <w:t>пункте 2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заявители должны подтвердить затраты на приобретение мини-теплиц, необходимых для обеспечения деятельности отдельных категорий граждан, ведущих личное подсобное хозяйство, в полном объеме;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заявители должны предоставить приобретенные мини-теплицы в аренду отдельным категориям граждан, ведущих личное подсобное хозяйство, в целях обеспечения их деятельности;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2" w:name="Par518"/>
      <w:bookmarkEnd w:id="2"/>
      <w:r>
        <w:rPr>
          <w:rFonts w:ascii="PT Astra Serif" w:hAnsi="PT Astra Serif"/>
          <w:sz w:val="28"/>
          <w:szCs w:val="28"/>
        </w:rPr>
        <w:t>9) заявителям не должно быть назначено административное наказание                    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заявители не должны являться иностранными юридическими лицами;</w:t>
      </w:r>
    </w:p>
    <w:p>
      <w:pPr>
        <w:pStyle w:val="ConsPlusNormal"/>
        <w:bidi w:val="0"/>
        <w:spacing w:before="16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bookmarkStart w:id="3" w:name="Par522"/>
      <w:bookmarkEnd w:id="3"/>
      <w:r>
        <w:rPr>
          <w:rFonts w:ascii="PT Astra Serif" w:hAnsi="PT Astra Serif"/>
          <w:sz w:val="28"/>
          <w:szCs w:val="28"/>
        </w:rPr>
        <w:t>11) у заявителей должна отсутствовать просроченная (неурегулированная) задолженность по денежным обязательствам перед Ульяновской областью.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Arial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Arial" w:hAnsi="Arial" w:eastAsia="Courier New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2</Pages>
  <Words>289</Words>
  <Characters>2180</Characters>
  <CharactersWithSpaces>2563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2020-04-30T10:33:57Z</dcterms:modified>
  <cp:revision>2</cp:revision>
  <dc:subject/>
  <dc:title/>
</cp:coreProperties>
</file>